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936E70" w:rsidRPr="005D5F57" w:rsidTr="002B3EA3">
        <w:tc>
          <w:tcPr>
            <w:tcW w:w="4926" w:type="dxa"/>
          </w:tcPr>
          <w:p w:rsidR="00936E70" w:rsidRPr="005D5F57" w:rsidRDefault="00E374A3" w:rsidP="002B3EA3">
            <w:pPr>
              <w:tabs>
                <w:tab w:val="left" w:pos="1276"/>
                <w:tab w:val="left" w:pos="3600"/>
                <w:tab w:val="left" w:pos="4500"/>
              </w:tabs>
              <w:ind w:right="-284"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74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ЗРАЗОК</w:t>
            </w:r>
          </w:p>
        </w:tc>
        <w:tc>
          <w:tcPr>
            <w:tcW w:w="4927" w:type="dxa"/>
          </w:tcPr>
          <w:p w:rsidR="00936E70" w:rsidRPr="005D5F57" w:rsidRDefault="00936E70" w:rsidP="002B3EA3">
            <w:pPr>
              <w:tabs>
                <w:tab w:val="left" w:pos="1276"/>
                <w:tab w:val="left" w:pos="3600"/>
                <w:tab w:val="left" w:pos="4500"/>
              </w:tabs>
              <w:ind w:right="-284"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5F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36E70" w:rsidRPr="005D5F57" w:rsidRDefault="00936E70" w:rsidP="002B3EA3">
            <w:pPr>
              <w:tabs>
                <w:tab w:val="left" w:pos="1276"/>
                <w:tab w:val="left" w:pos="3600"/>
                <w:tab w:val="left" w:pos="4500"/>
              </w:tabs>
              <w:ind w:right="-284"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5F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Наказ КП «Волинськ</w:t>
            </w:r>
            <w:r w:rsidR="00DC65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обласна</w:t>
            </w:r>
            <w:r w:rsidRPr="005D5F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6E70" w:rsidRPr="005D5F57" w:rsidRDefault="00DC6559" w:rsidP="002B3EA3">
            <w:pPr>
              <w:tabs>
                <w:tab w:val="left" w:pos="1276"/>
                <w:tab w:val="left" w:pos="3600"/>
                <w:tab w:val="left" w:pos="4500"/>
              </w:tabs>
              <w:ind w:right="-284"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клінічна лікарня</w:t>
            </w:r>
            <w:r w:rsidR="00936E70" w:rsidRPr="005D5F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936E70" w:rsidRPr="005D5F57" w:rsidRDefault="00936E70" w:rsidP="002B3EA3">
            <w:pPr>
              <w:tabs>
                <w:tab w:val="left" w:pos="1276"/>
                <w:tab w:val="left" w:pos="3600"/>
                <w:tab w:val="left" w:pos="4500"/>
              </w:tabs>
              <w:ind w:right="-284"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5F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_____________№__________</w:t>
            </w:r>
          </w:p>
          <w:p w:rsidR="00936E70" w:rsidRPr="005D5F57" w:rsidRDefault="00936E70" w:rsidP="002B3EA3">
            <w:pPr>
              <w:tabs>
                <w:tab w:val="left" w:pos="1276"/>
                <w:tab w:val="left" w:pos="3600"/>
                <w:tab w:val="left" w:pos="4500"/>
              </w:tabs>
              <w:ind w:right="-284" w:firstLine="70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6E70" w:rsidRPr="005D5F57" w:rsidRDefault="00936E70" w:rsidP="00936E70">
      <w:pPr>
        <w:tabs>
          <w:tab w:val="left" w:pos="1276"/>
          <w:tab w:val="left" w:pos="3600"/>
          <w:tab w:val="left" w:pos="4500"/>
        </w:tabs>
        <w:spacing w:after="0" w:line="240" w:lineRule="auto"/>
        <w:ind w:right="-284"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 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D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Pr="005D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ru-RU"/>
        </w:rPr>
        <w:t>відділення</w:t>
      </w: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</w:t>
      </w:r>
      <w:r w:rsidR="00DC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ального підприємства «Волинська обласна клінічна лікарня</w:t>
      </w:r>
      <w:r w:rsidRPr="005D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Волинської обласної ради </w:t>
      </w: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5"/>
      <w:bookmarkEnd w:id="0"/>
      <w:r w:rsidRPr="005D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Загальні положення</w:t>
      </w: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6"/>
      <w:bookmarkEnd w:id="1"/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Відділення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- Відділення) є  струк</w:t>
      </w:r>
      <w:r w:rsidR="00DC6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турним підрозділом КП «Волинська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C6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обласна клінічна лікарня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(надалі – заклад)</w:t>
      </w:r>
      <w:bookmarkStart w:id="2" w:name="n7"/>
      <w:bookmarkStart w:id="3" w:name="n8"/>
      <w:bookmarkEnd w:id="2"/>
      <w:bookmarkEnd w:id="3"/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 Відділення у своїй діяльності керуються </w:t>
      </w:r>
      <w:hyperlink r:id="rId7" w:tgtFrame="_blank" w:history="1">
        <w:r w:rsidRPr="005D5F5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Конституцією України</w:t>
        </w:r>
      </w:hyperlink>
      <w:r w:rsidRPr="005D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законами України, постановами Кабінету Міністрів України, Указами Президента України, іншими нормативно-правовими актами,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 Статутом та Положенням про </w:t>
      </w:r>
      <w:r w:rsidR="00DC655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Заклад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, цим Положенням, Колективним договором, Правилами внутрішнього трудового розпорядку, посадовими 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та робочими 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інструкціями, та іншими документами </w:t>
      </w:r>
      <w:r w:rsidR="00DC655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Закладу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9"/>
      <w:bookmarkEnd w:id="4"/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Розпорядок роботи Відділення встановлюється Правилами вну</w:t>
      </w:r>
      <w:r w:rsidR="00DC6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трішнього трудового розпорядку Закладу.</w:t>
      </w: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Керівництво Відділенням  здійснює завідувач відділення, який призначається та звільняється з посади керівником </w:t>
      </w:r>
      <w:r w:rsidR="00DC6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Повноваження завідувача відділення визначаються його посадовою інструкцією.</w:t>
      </w: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Завідувачу відділення підпорядковуються усі працівники Відділення.</w:t>
      </w: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Штатні одиниці та чисельність працівників визначається керівником </w:t>
      </w:r>
      <w:r w:rsidR="00DC6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затверджується ним у Штатному розписі </w:t>
      </w:r>
      <w:r w:rsidR="00DC6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 Відділення взаємодіють з іншими структурними підрозділами з метою реалізації завдань Відділення згідно Схем взаємодії, Що розробляються завідувачем Відділення.</w:t>
      </w: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відділенні ведуться обліково-статистичні форми, звітні та інші документи у встановленому порядку. </w:t>
      </w:r>
    </w:p>
    <w:p w:rsidR="00936E70" w:rsidRPr="005D5F57" w:rsidRDefault="00936E70" w:rsidP="00936E70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Оцінка роботи працівників відділення проводиться у порядку, визначеному наказом керівника </w:t>
      </w:r>
      <w:r w:rsidR="00DC6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36E70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6559" w:rsidRPr="005D5F57" w:rsidRDefault="00DC6559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before="150"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5" w:name="n10"/>
      <w:bookmarkEnd w:id="5"/>
      <w:r w:rsidRPr="005D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2.Завдання Відділення</w:t>
      </w: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before="150"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6" w:name="n11"/>
      <w:bookmarkEnd w:id="6"/>
      <w:r w:rsidRPr="005D5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36E70" w:rsidRPr="005D5F57" w:rsidRDefault="00936E70" w:rsidP="00936E70">
      <w:pPr>
        <w:numPr>
          <w:ilvl w:val="0"/>
          <w:numId w:val="4"/>
        </w:numPr>
        <w:shd w:val="clear" w:color="auto" w:fill="FFFFFF"/>
        <w:tabs>
          <w:tab w:val="num" w:pos="0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Завданням Відділення є: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медичних послуг в стаціонарних умовах із спеціальностей згідно ліцензії на право провадження господарської діяльності з медичної практики;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направлення пацієнтів до інших структурних підрозділів або закладів охорони здоров’я;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 нових методів діагностики, лікування та профілактики профільних пацієнтів згідно вимог чинного законодавства, стандартів, протоколів, методик, алгоритмів, порядків дій тощо;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 та організація підвищення професійного рівні працівників відділення;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взаємодії з іншими структурними підрозділами </w:t>
      </w:r>
      <w:r w:rsidR="00DC65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спеціалізованими відділеннями інших закладів охорони здоров’я;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 щодо профілактики внутрішньо лікарняних інфекцій у відділенні;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 та аналіз роботи відділення;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затвердженої облікової та звітної документації, здійснення моніторингу якості надання медичної допомоги;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отримання, облік, зберігання, використання, списання лікарських засобів, виробів медичного призначення відповідно до чинних нормативних документів;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та дотримання умов праці працівників відділення у відділенні відповідно до встановлених вимог, 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та дотримання вимог охорони праці та пожежної безпеки;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та дотримання вимог тощо поводження з медичними відходами;</w:t>
      </w:r>
    </w:p>
    <w:p w:rsidR="00936E70" w:rsidRPr="005D5F57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та дотримання вимог щодо експлуатації та використання обладнання, апаратури та іншого оснащення;</w:t>
      </w:r>
    </w:p>
    <w:p w:rsidR="00936E70" w:rsidRDefault="00936E70" w:rsidP="00936E70">
      <w:pPr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і проведення санітарно-просвітницької роботи серед персоналу та пацієнтів відділення.</w:t>
      </w:r>
    </w:p>
    <w:p w:rsidR="00AC22F2" w:rsidRDefault="00AC22F2" w:rsidP="00AC22F2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22F2" w:rsidRPr="004B5DA8" w:rsidRDefault="00AC22F2" w:rsidP="004B5DA8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3. </w:t>
      </w:r>
      <w:r w:rsidRPr="00AC2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Медичні послуги, які надаються у Відділенні</w:t>
      </w:r>
      <w:r w:rsidR="004B5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B5DA8" w:rsidRPr="004B5DA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>(заповнюється закладами, які укладають договір з НСЗУ)</w:t>
      </w:r>
      <w:bookmarkStart w:id="7" w:name="_GoBack"/>
      <w:bookmarkEnd w:id="7"/>
    </w:p>
    <w:p w:rsidR="00936E70" w:rsidRPr="005D5F57" w:rsidRDefault="00936E70" w:rsidP="004B5DA8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6E70" w:rsidRPr="005D5F57" w:rsidRDefault="00AC22F2" w:rsidP="004B5DA8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8" w:name="n25"/>
      <w:bookmarkEnd w:id="8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936E70" w:rsidRPr="005D5F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. </w:t>
      </w:r>
      <w:r w:rsidR="00936E70" w:rsidRPr="005D5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Організація лікувально-діагностичного процесу</w:t>
      </w: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36E70" w:rsidRPr="005D5F57" w:rsidRDefault="00936E70" w:rsidP="00DE36D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120" w:after="0" w:line="240" w:lineRule="auto"/>
        <w:ind w:left="0"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Відділення надає медичну допомогу послуги особам (жінкам), які 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досягли 18 річного  віку.</w:t>
      </w:r>
    </w:p>
    <w:p w:rsidR="00936E70" w:rsidRDefault="00936E70" w:rsidP="00936E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0"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yellow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yellow"/>
          <w:lang w:val="uk-UA"/>
        </w:rPr>
        <w:t>Показаннями для лікування у відділенні є:</w:t>
      </w:r>
    </w:p>
    <w:p w:rsidR="00AC22F2" w:rsidRPr="005D5F57" w:rsidRDefault="00AC22F2" w:rsidP="00AC22F2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709" w:right="-284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yellow"/>
          <w:lang w:val="uk-UA"/>
        </w:rPr>
      </w:pPr>
    </w:p>
    <w:p w:rsidR="00936E70" w:rsidRDefault="00936E70" w:rsidP="00936E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0"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yellow"/>
          <w:lang w:val="uk-UA"/>
        </w:rPr>
        <w:t>Протипоказаннями для лікування у відділенні є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:</w:t>
      </w:r>
    </w:p>
    <w:p w:rsidR="00AC22F2" w:rsidRDefault="00AC22F2" w:rsidP="00AC22F2">
      <w:pPr>
        <w:pStyle w:val="a6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C22F2" w:rsidRPr="005D5F57" w:rsidRDefault="00AC22F2" w:rsidP="00AC22F2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709" w:right="-284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36E70" w:rsidRPr="005D5F57" w:rsidRDefault="00936E70" w:rsidP="005D5F5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Пацієнт приймається до відділе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ня за направленням 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лікаря 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або за 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самостійного 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звернен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ня.</w:t>
      </w:r>
    </w:p>
    <w:p w:rsidR="00936E70" w:rsidRPr="005D5F57" w:rsidRDefault="00936E70" w:rsidP="00936E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Лікуючого лікаря пацієнту призначає завідувач Відділення.</w:t>
      </w:r>
    </w:p>
    <w:p w:rsidR="00936E70" w:rsidRPr="005D5F57" w:rsidRDefault="00936E70" w:rsidP="00936E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Експертиза тимчасової непрацездатності про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во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диться у Відділенні в установленому законодавств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м порядку про що видаються відповідні документи.</w:t>
      </w:r>
    </w:p>
    <w:p w:rsidR="00936E70" w:rsidRPr="005D5F57" w:rsidRDefault="00936E70" w:rsidP="00936E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Медична та інша документація у відділенні оформляється та видається пацієнту згідно чинного законодавства.</w:t>
      </w:r>
    </w:p>
    <w:p w:rsidR="00936E70" w:rsidRPr="005D5F57" w:rsidRDefault="00936E70" w:rsidP="00936E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</w:pPr>
      <w:r w:rsidRPr="005D5F57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>В складних діагностичних випадках для верифікації діагнозу пацієнту проводиться клінічний аудит або консиліум лікарів</w:t>
      </w:r>
      <w:r w:rsidRPr="005D5F57">
        <w:rPr>
          <w:rFonts w:ascii="Times New Roman" w:eastAsia="Calibri" w:hAnsi="Times New Roman" w:cs="Times New Roman"/>
          <w:spacing w:val="10"/>
          <w:sz w:val="28"/>
          <w:szCs w:val="28"/>
          <w:shd w:val="clear" w:color="auto" w:fill="FFFFFF"/>
          <w:lang w:val="uk-UA"/>
        </w:rPr>
        <w:t xml:space="preserve">. </w:t>
      </w:r>
      <w:bookmarkStart w:id="9" w:name="n63"/>
      <w:bookmarkStart w:id="10" w:name="n64"/>
      <w:bookmarkStart w:id="11" w:name="n66"/>
      <w:bookmarkStart w:id="12" w:name="n69"/>
      <w:bookmarkEnd w:id="9"/>
      <w:bookmarkEnd w:id="10"/>
      <w:bookmarkEnd w:id="11"/>
      <w:bookmarkEnd w:id="12"/>
    </w:p>
    <w:p w:rsidR="00936E70" w:rsidRPr="005D5F57" w:rsidRDefault="00936E70" w:rsidP="00936E7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  <w:r w:rsidRPr="005D5F57">
        <w:rPr>
          <w:rFonts w:ascii="Times New Roman" w:eastAsia="Calibri" w:hAnsi="Times New Roman" w:cs="Times New Roman"/>
          <w:spacing w:val="10"/>
          <w:sz w:val="28"/>
          <w:szCs w:val="28"/>
          <w:shd w:val="clear" w:color="auto" w:fill="FFFFFF"/>
          <w:lang w:val="uk-UA"/>
        </w:rPr>
        <w:t>Надання медичної доомоги пацієнту у Відділенні припиняється:</w:t>
      </w:r>
    </w:p>
    <w:p w:rsidR="00936E70" w:rsidRPr="005D5F57" w:rsidRDefault="00936E70" w:rsidP="005D5F57">
      <w:pPr>
        <w:numPr>
          <w:ilvl w:val="0"/>
          <w:numId w:val="6"/>
        </w:numPr>
        <w:tabs>
          <w:tab w:val="num" w:pos="0"/>
          <w:tab w:val="left" w:pos="900"/>
          <w:tab w:val="left" w:pos="1276"/>
        </w:tabs>
        <w:spacing w:after="0" w:line="240" w:lineRule="auto"/>
        <w:ind w:left="0" w:right="-283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  <w:shd w:val="clear" w:color="auto" w:fill="FFFFFF"/>
          <w:lang w:val="uk-UA"/>
        </w:rPr>
      </w:pPr>
      <w:r w:rsidRPr="005D5F57">
        <w:rPr>
          <w:rFonts w:ascii="Times New Roman" w:eastAsia="Calibri" w:hAnsi="Times New Roman" w:cs="Times New Roman"/>
          <w:spacing w:val="10"/>
          <w:sz w:val="28"/>
          <w:szCs w:val="28"/>
          <w:shd w:val="clear" w:color="auto" w:fill="FFFFFF"/>
          <w:lang w:val="uk-UA"/>
        </w:rPr>
        <w:t xml:space="preserve">у випадку отриманням пацієнтом необхідної медичної допомоги (діагностики, закінченням курсу лікування, тощо). </w:t>
      </w:r>
    </w:p>
    <w:p w:rsidR="00936E70" w:rsidRPr="005D5F57" w:rsidRDefault="00936E70" w:rsidP="005D5F57">
      <w:pPr>
        <w:numPr>
          <w:ilvl w:val="0"/>
          <w:numId w:val="6"/>
        </w:numPr>
        <w:tabs>
          <w:tab w:val="num" w:pos="0"/>
          <w:tab w:val="left" w:pos="900"/>
          <w:tab w:val="left" w:pos="1276"/>
        </w:tabs>
        <w:spacing w:after="0" w:line="240" w:lineRule="auto"/>
        <w:ind w:left="0" w:right="-283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  <w:shd w:val="clear" w:color="auto" w:fill="FFFFFF"/>
          <w:lang w:val="uk-UA"/>
        </w:rPr>
      </w:pPr>
      <w:r w:rsidRPr="005D5F57">
        <w:rPr>
          <w:rFonts w:ascii="Times New Roman" w:eastAsia="Calibri" w:hAnsi="Times New Roman" w:cs="Times New Roman"/>
          <w:spacing w:val="10"/>
          <w:sz w:val="28"/>
          <w:szCs w:val="28"/>
          <w:shd w:val="clear" w:color="auto" w:fill="FFFFFF"/>
          <w:lang w:val="uk-UA"/>
        </w:rPr>
        <w:t>у зв’язку із направленням пацієнта до іншого відділення та інших закладів охорони здоров’я;</w:t>
      </w:r>
    </w:p>
    <w:p w:rsidR="00936E70" w:rsidRPr="005D5F57" w:rsidRDefault="00936E70" w:rsidP="005D5F57">
      <w:pPr>
        <w:numPr>
          <w:ilvl w:val="0"/>
          <w:numId w:val="6"/>
        </w:numPr>
        <w:tabs>
          <w:tab w:val="left" w:pos="900"/>
          <w:tab w:val="left" w:pos="1276"/>
        </w:tabs>
        <w:spacing w:after="0" w:line="240" w:lineRule="auto"/>
        <w:ind w:left="0" w:right="-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 w:rsidRPr="005D5F57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>у зв’язку з самовільним залишенням</w:t>
      </w:r>
      <w:r w:rsidR="005D5F57" w:rsidRPr="005D5F57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 xml:space="preserve"> закладу</w:t>
      </w:r>
      <w:r w:rsidRPr="005D5F57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 xml:space="preserve">, відмовою </w:t>
      </w:r>
      <w:r w:rsidR="00DC6559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>Закладу</w:t>
      </w:r>
      <w:r w:rsidRPr="005D5F57">
        <w:rPr>
          <w:rFonts w:ascii="Times New Roman" w:eastAsia="Calibri" w:hAnsi="Times New Roman" w:cs="Times New Roman"/>
          <w:spacing w:val="10"/>
          <w:sz w:val="28"/>
          <w:szCs w:val="28"/>
          <w:shd w:val="clear" w:color="auto" w:fill="FFFFFF"/>
          <w:lang w:val="uk-UA"/>
        </w:rPr>
        <w:t xml:space="preserve"> </w:t>
      </w:r>
      <w:r w:rsidRPr="005D5F57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 xml:space="preserve">надавати медичну допомогу пацієнту, пов’язаною з невиконанням приписів </w:t>
      </w:r>
      <w:r w:rsidR="00DC6559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 xml:space="preserve">(призначень) </w:t>
      </w:r>
      <w:r w:rsidRPr="005D5F57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 xml:space="preserve">лікуючого лікаря або за грубе порушення </w:t>
      </w:r>
      <w:r w:rsidRPr="005D5F57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 xml:space="preserve">правил внутрішнього розпорядку, що </w:t>
      </w:r>
      <w:r w:rsidRPr="005D5F57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 xml:space="preserve">проводиться за рішенням керівника </w:t>
      </w:r>
      <w:r w:rsidR="00DC6559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>Закладу</w:t>
      </w:r>
      <w:r w:rsidRPr="005D5F57">
        <w:rPr>
          <w:rFonts w:ascii="Times New Roman" w:eastAsia="Calibri" w:hAnsi="Times New Roman" w:cs="Times New Roman"/>
          <w:spacing w:val="10"/>
          <w:sz w:val="28"/>
          <w:szCs w:val="28"/>
          <w:highlight w:val="yellow"/>
          <w:shd w:val="clear" w:color="auto" w:fill="FFFFFF"/>
          <w:lang w:val="uk-UA"/>
        </w:rPr>
        <w:t>.</w:t>
      </w:r>
    </w:p>
    <w:p w:rsidR="00936E70" w:rsidRPr="005D5F57" w:rsidRDefault="00936E70" w:rsidP="00DE36DB">
      <w:pPr>
        <w:numPr>
          <w:ilvl w:val="1"/>
          <w:numId w:val="7"/>
        </w:numPr>
        <w:tabs>
          <w:tab w:val="left" w:pos="900"/>
          <w:tab w:val="left" w:pos="1276"/>
        </w:tabs>
        <w:spacing w:after="0" w:line="240" w:lineRule="auto"/>
        <w:ind w:right="-283" w:firstLine="1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5F57">
        <w:rPr>
          <w:rFonts w:ascii="Times New Roman" w:eastAsia="Calibri" w:hAnsi="Times New Roman" w:cs="Times New Roman"/>
          <w:sz w:val="28"/>
          <w:szCs w:val="28"/>
          <w:lang w:val="uk-UA"/>
        </w:rPr>
        <w:t>Процес надання медичної допомоги фіксується у медичній документації, що ведеться у перовій та електронній формі.</w:t>
      </w:r>
    </w:p>
    <w:p w:rsidR="00936E70" w:rsidRDefault="00936E70" w:rsidP="00DE36DB">
      <w:pPr>
        <w:numPr>
          <w:ilvl w:val="1"/>
          <w:numId w:val="7"/>
        </w:numPr>
        <w:tabs>
          <w:tab w:val="left" w:pos="900"/>
          <w:tab w:val="left" w:pos="1276"/>
        </w:tabs>
        <w:spacing w:after="0" w:line="240" w:lineRule="auto"/>
        <w:ind w:right="-283" w:firstLine="1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 w:rsidRPr="005D5F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Пацієнтам під час виписування  оформляються та видаються </w:t>
      </w:r>
      <w:r w:rsidRPr="005D5F57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 xml:space="preserve">документи: </w:t>
      </w:r>
    </w:p>
    <w:p w:rsidR="00DC6559" w:rsidRDefault="00DC6559" w:rsidP="00DE36DB">
      <w:pPr>
        <w:pStyle w:val="a6"/>
        <w:numPr>
          <w:ilvl w:val="0"/>
          <w:numId w:val="6"/>
        </w:numPr>
        <w:tabs>
          <w:tab w:val="clear" w:pos="1890"/>
          <w:tab w:val="num" w:pos="709"/>
          <w:tab w:val="left" w:pos="900"/>
          <w:tab w:val="left" w:pos="1276"/>
        </w:tabs>
        <w:spacing w:after="0" w:line="240" w:lineRule="auto"/>
        <w:ind w:left="0" w:right="-283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В</w:t>
      </w:r>
      <w:r w:rsidRPr="00DC6559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иписка</w:t>
      </w:r>
      <w:r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;</w:t>
      </w:r>
    </w:p>
    <w:p w:rsidR="00DC6559" w:rsidRDefault="00DC6559" w:rsidP="00DE36DB">
      <w:pPr>
        <w:pStyle w:val="a6"/>
        <w:numPr>
          <w:ilvl w:val="0"/>
          <w:numId w:val="6"/>
        </w:numPr>
        <w:tabs>
          <w:tab w:val="clear" w:pos="1890"/>
          <w:tab w:val="num" w:pos="709"/>
          <w:tab w:val="left" w:pos="900"/>
          <w:tab w:val="left" w:pos="1276"/>
        </w:tabs>
        <w:spacing w:after="0" w:line="240" w:lineRule="auto"/>
        <w:ind w:left="0" w:right="-283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Листок непрацездатності;</w:t>
      </w:r>
    </w:p>
    <w:p w:rsidR="00DE36DB" w:rsidRDefault="00DE36DB" w:rsidP="00936E70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36E70" w:rsidRPr="005D5F57" w:rsidRDefault="00DE36DB" w:rsidP="00936E70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="00936E70" w:rsidRPr="005D5F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.Організаційні заходи</w:t>
      </w:r>
    </w:p>
    <w:p w:rsidR="00936E70" w:rsidRPr="005D5F57" w:rsidRDefault="00936E70" w:rsidP="00936E70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36E70" w:rsidRPr="00DE36DB" w:rsidRDefault="00936E70" w:rsidP="00DE36D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Планування та аналіз роботи відділення здійснюється завідувачем відділення з дотриманням з періодичністю, визначеною керівником </w:t>
      </w:r>
      <w:r w:rsidR="00DC6559"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Закладу</w:t>
      </w: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936E70" w:rsidRPr="00DE36DB" w:rsidRDefault="00936E70" w:rsidP="00DE36D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Розпорядок дня відділення розробляється завідувачем відділення та затверджується керівником </w:t>
      </w:r>
      <w:r w:rsidR="00DC6559"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Закладу</w:t>
      </w: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936E70" w:rsidRPr="00DE36DB" w:rsidRDefault="00936E70" w:rsidP="00DE36D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У Відділення проводяться загальні обходи за участю завідувача </w:t>
      </w: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val="uk-UA"/>
        </w:rPr>
        <w:t>відділення, старшої</w:t>
      </w:r>
      <w:r w:rsidR="005D5F57"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медичної сестри</w:t>
      </w: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, згідно плану роботи Відділення, затвердженого керівником </w:t>
      </w:r>
      <w:r w:rsidR="00DC6559"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Закладу</w:t>
      </w: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936E70" w:rsidRPr="00DE36DB" w:rsidRDefault="00936E70" w:rsidP="00DE36D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У Відділенні проводяться оперативні наради згідно плану роботи Відділення, затвердженого керівником </w:t>
      </w:r>
      <w:r w:rsidR="00DC6559"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Закладу</w:t>
      </w: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936E70" w:rsidRPr="00DE36DB" w:rsidRDefault="00936E70" w:rsidP="00DE36DB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before="40"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lastRenderedPageBreak/>
        <w:t>Інформація до працівників доводиться на о</w:t>
      </w:r>
      <w:r w:rsidR="005D5F57"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п</w:t>
      </w: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еративих нарадах або шляхом розміщення на інформаційному стенді Відділення оголошень, повідомлень, копій наказів </w:t>
      </w:r>
      <w:r w:rsidR="00DC6559"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Закладу</w:t>
      </w:r>
      <w:r w:rsidRPr="00DE36D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, тощо.</w:t>
      </w:r>
    </w:p>
    <w:p w:rsidR="0095226F" w:rsidRPr="005D5F57" w:rsidRDefault="0095226F" w:rsidP="00936E70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right="-284"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936E70" w:rsidRDefault="00DE36DB" w:rsidP="00936E70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="00936E70" w:rsidRPr="005D5F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.Структура та оснащення Відділення</w:t>
      </w:r>
    </w:p>
    <w:p w:rsidR="0095226F" w:rsidRPr="005D5F57" w:rsidRDefault="0095226F" w:rsidP="00936E70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before="40"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36E70" w:rsidRPr="005D5F57" w:rsidRDefault="00DE36DB" w:rsidP="00936E70">
      <w:pPr>
        <w:shd w:val="clear" w:color="auto" w:fill="FFFFFF"/>
        <w:tabs>
          <w:tab w:val="left" w:pos="1276"/>
        </w:tabs>
        <w:spacing w:before="40" w:after="0" w:line="240" w:lineRule="auto"/>
        <w:ind w:right="-284"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6</w:t>
      </w:r>
      <w:r w:rsidR="00936E70" w:rsidRPr="005D5F5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.1. Відділення знаходиться на </w:t>
      </w:r>
      <w:r w:rsidR="00936E70" w:rsidRPr="005D5F57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val="uk-UA"/>
        </w:rPr>
        <w:t>2-му поверсі головного кор</w:t>
      </w:r>
      <w:r w:rsidR="005D5F57" w:rsidRPr="005D5F57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val="uk-UA"/>
        </w:rPr>
        <w:t>п</w:t>
      </w:r>
      <w:r w:rsidR="00936E70" w:rsidRPr="005D5F57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  <w:lang w:val="uk-UA"/>
        </w:rPr>
        <w:t>усу</w:t>
      </w:r>
      <w:r w:rsidR="00936E70" w:rsidRPr="005D5F5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C6559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Закладу</w:t>
      </w:r>
      <w:r w:rsidR="00936E70" w:rsidRPr="005D5F5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936E70" w:rsidRPr="005D5F57" w:rsidRDefault="00DE36DB" w:rsidP="00936E70">
      <w:pPr>
        <w:shd w:val="clear" w:color="auto" w:fill="FFFFFF"/>
        <w:tabs>
          <w:tab w:val="left" w:pos="1276"/>
        </w:tabs>
        <w:spacing w:before="40" w:after="0" w:line="240" w:lineRule="auto"/>
        <w:ind w:right="-284"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6</w:t>
      </w:r>
      <w:r w:rsidR="00936E70" w:rsidRPr="005D5F5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.2.До структури центру входять кабінети:</w:t>
      </w:r>
    </w:p>
    <w:p w:rsidR="00936E70" w:rsidRPr="005D5F57" w:rsidRDefault="00936E70" w:rsidP="00936E70">
      <w:pPr>
        <w:widowControl w:val="0"/>
        <w:numPr>
          <w:ilvl w:val="0"/>
          <w:numId w:val="1"/>
        </w:numPr>
        <w:tabs>
          <w:tab w:val="left" w:pos="168"/>
          <w:tab w:val="num" w:pos="993"/>
          <w:tab w:val="left" w:pos="1276"/>
        </w:tabs>
        <w:suppressAutoHyphens/>
        <w:autoSpaceDE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  <w:t>ординаторська;</w:t>
      </w:r>
    </w:p>
    <w:p w:rsidR="00936E70" w:rsidRPr="005D5F57" w:rsidRDefault="00936E70" w:rsidP="00936E70">
      <w:pPr>
        <w:widowControl w:val="0"/>
        <w:numPr>
          <w:ilvl w:val="0"/>
          <w:numId w:val="1"/>
        </w:numPr>
        <w:tabs>
          <w:tab w:val="left" w:pos="168"/>
          <w:tab w:val="num" w:pos="993"/>
          <w:tab w:val="left" w:pos="1276"/>
        </w:tabs>
        <w:suppressAutoHyphens/>
        <w:autoSpaceDE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  <w:t>кабінет старшої сестри медичної;</w:t>
      </w:r>
    </w:p>
    <w:p w:rsidR="00936E70" w:rsidRPr="0095226F" w:rsidRDefault="0095226F" w:rsidP="00936E70">
      <w:pPr>
        <w:widowControl w:val="0"/>
        <w:numPr>
          <w:ilvl w:val="0"/>
          <w:numId w:val="1"/>
        </w:numPr>
        <w:tabs>
          <w:tab w:val="left" w:pos="168"/>
          <w:tab w:val="num" w:pos="993"/>
          <w:tab w:val="left" w:pos="1276"/>
        </w:tabs>
        <w:suppressAutoHyphens/>
        <w:autoSpaceDE w:val="0"/>
        <w:spacing w:after="0" w:line="240" w:lineRule="auto"/>
        <w:ind w:left="0"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uk-UA"/>
        </w:rPr>
        <w:t>кабінет лікаря</w:t>
      </w:r>
    </w:p>
    <w:p w:rsidR="0095226F" w:rsidRPr="005D5F57" w:rsidRDefault="0095226F" w:rsidP="0095226F">
      <w:pPr>
        <w:widowControl w:val="0"/>
        <w:tabs>
          <w:tab w:val="left" w:pos="168"/>
          <w:tab w:val="left" w:pos="1276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</w:pPr>
    </w:p>
    <w:p w:rsidR="00936E70" w:rsidRPr="005D5F57" w:rsidRDefault="00DE36DB" w:rsidP="00936E70">
      <w:pPr>
        <w:widowControl w:val="0"/>
        <w:tabs>
          <w:tab w:val="left" w:pos="168"/>
          <w:tab w:val="left" w:pos="1276"/>
        </w:tabs>
        <w:suppressAutoHyphens/>
        <w:autoSpaceDE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936E70" w:rsidRPr="005D5F57">
        <w:rPr>
          <w:rFonts w:ascii="Times New Roman" w:eastAsia="Calibri" w:hAnsi="Times New Roman" w:cs="Times New Roman"/>
          <w:sz w:val="28"/>
          <w:szCs w:val="28"/>
          <w:lang w:val="uk-UA"/>
        </w:rPr>
        <w:t>.3.Відділення оснащене сучасним медичним обладнанням, апаратурою, інструментарієм, комп’ютерним обладнанням, меблями та м’яким інвентарем, а також забезпечене лікарськими засобами, виробами медичного призначення, дезінфікуючими та мийними засобами. Забезпечення відділення ресур</w:t>
      </w:r>
      <w:r w:rsidR="005D5F57" w:rsidRPr="005D5F5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936E70" w:rsidRPr="005D5F57">
        <w:rPr>
          <w:rFonts w:ascii="Times New Roman" w:eastAsia="Calibri" w:hAnsi="Times New Roman" w:cs="Times New Roman"/>
          <w:sz w:val="28"/>
          <w:szCs w:val="28"/>
          <w:lang w:val="uk-UA"/>
        </w:rPr>
        <w:t>ами здійснюється згідно Табеля оснащення Відділення на підставі заявок, що оформляються та подаються на погодження відповідальній особі завідувачем Відділення</w:t>
      </w:r>
    </w:p>
    <w:p w:rsidR="00936E70" w:rsidRPr="005D5F57" w:rsidRDefault="00936E70" w:rsidP="00936E70">
      <w:pPr>
        <w:widowControl w:val="0"/>
        <w:tabs>
          <w:tab w:val="left" w:pos="168"/>
          <w:tab w:val="left" w:pos="1276"/>
        </w:tabs>
        <w:suppressAutoHyphens/>
        <w:autoSpaceDE w:val="0"/>
        <w:spacing w:after="0" w:line="240" w:lineRule="auto"/>
        <w:ind w:right="-284" w:firstLine="709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shd w:val="clear" w:color="auto" w:fill="FFFFFF"/>
          <w:lang w:val="uk-UA"/>
        </w:rPr>
      </w:pPr>
    </w:p>
    <w:p w:rsidR="00936E70" w:rsidRPr="005D5F57" w:rsidRDefault="00936E70" w:rsidP="00936E70">
      <w:pPr>
        <w:widowControl w:val="0"/>
        <w:tabs>
          <w:tab w:val="left" w:pos="168"/>
          <w:tab w:val="left" w:pos="1276"/>
        </w:tabs>
        <w:suppressAutoHyphens/>
        <w:autoSpaceDE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shd w:val="clear" w:color="auto" w:fill="FFFFFF"/>
          <w:lang w:val="uk-UA"/>
        </w:rPr>
      </w:pPr>
    </w:p>
    <w:p w:rsidR="00936E70" w:rsidRPr="005D5F57" w:rsidRDefault="00936E70" w:rsidP="00936E70">
      <w:pPr>
        <w:shd w:val="clear" w:color="auto" w:fill="FFFFFF"/>
        <w:tabs>
          <w:tab w:val="left" w:pos="1276"/>
        </w:tabs>
        <w:spacing w:before="40" w:after="0" w:line="240" w:lineRule="auto"/>
        <w:ind w:right="-284" w:firstLine="709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36E70" w:rsidRPr="005D5F57" w:rsidRDefault="00936E70" w:rsidP="00936E70">
      <w:pPr>
        <w:tabs>
          <w:tab w:val="left" w:pos="1276"/>
        </w:tabs>
        <w:rPr>
          <w:lang w:val="uk-UA"/>
        </w:rPr>
      </w:pPr>
      <w:r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Завідувач  відділення       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</w:t>
      </w:r>
      <w:r w:rsidR="005D5F57" w:rsidRPr="005D5F5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yellow"/>
          <w:lang w:val="uk-UA"/>
        </w:rPr>
        <w:t>__________________</w:t>
      </w:r>
    </w:p>
    <w:p w:rsidR="002F216F" w:rsidRPr="005D5F57" w:rsidRDefault="002F216F">
      <w:pPr>
        <w:rPr>
          <w:lang w:val="uk-UA"/>
        </w:rPr>
      </w:pPr>
    </w:p>
    <w:sectPr w:rsidR="002F216F" w:rsidRPr="005D5F57" w:rsidSect="005D5F57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95" w:rsidRDefault="001A4695">
      <w:pPr>
        <w:spacing w:after="0" w:line="240" w:lineRule="auto"/>
      </w:pPr>
      <w:r>
        <w:separator/>
      </w:r>
    </w:p>
  </w:endnote>
  <w:endnote w:type="continuationSeparator" w:id="0">
    <w:p w:rsidR="001A4695" w:rsidRDefault="001A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95" w:rsidRDefault="001A4695">
      <w:pPr>
        <w:spacing w:after="0" w:line="240" w:lineRule="auto"/>
      </w:pPr>
      <w:r>
        <w:separator/>
      </w:r>
    </w:p>
  </w:footnote>
  <w:footnote w:type="continuationSeparator" w:id="0">
    <w:p w:rsidR="001A4695" w:rsidRDefault="001A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420930"/>
      <w:docPartObj>
        <w:docPartGallery w:val="Page Numbers (Top of Page)"/>
        <w:docPartUnique/>
      </w:docPartObj>
    </w:sdtPr>
    <w:sdtEndPr/>
    <w:sdtContent>
      <w:p w:rsidR="00942607" w:rsidRDefault="00936E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A8">
          <w:rPr>
            <w:noProof/>
          </w:rPr>
          <w:t>4</w:t>
        </w:r>
        <w:r>
          <w:fldChar w:fldCharType="end"/>
        </w:r>
      </w:p>
    </w:sdtContent>
  </w:sdt>
  <w:p w:rsidR="00942607" w:rsidRDefault="001A46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2694"/>
        </w:tabs>
        <w:ind w:left="2694" w:firstLine="0"/>
      </w:pPr>
      <w:rPr>
        <w:rFonts w:ascii="Times New Roman" w:hAnsi="Times New Roman" w:cs="Times New Roman"/>
      </w:rPr>
    </w:lvl>
  </w:abstractNum>
  <w:abstractNum w:abstractNumId="1">
    <w:nsid w:val="038A6228"/>
    <w:multiLevelType w:val="hybridMultilevel"/>
    <w:tmpl w:val="1082B3DA"/>
    <w:lvl w:ilvl="0" w:tplc="4F54DB7E">
      <w:start w:val="1"/>
      <w:numFmt w:val="decimal"/>
      <w:lvlText w:val="1.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2C00E4"/>
    <w:multiLevelType w:val="hybridMultilevel"/>
    <w:tmpl w:val="7B700B56"/>
    <w:lvl w:ilvl="0" w:tplc="450A233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27F0E"/>
    <w:multiLevelType w:val="multilevel"/>
    <w:tmpl w:val="3D6CCCD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4.%2.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88154B0"/>
    <w:multiLevelType w:val="hybridMultilevel"/>
    <w:tmpl w:val="6332DECC"/>
    <w:lvl w:ilvl="0" w:tplc="392A66BA">
      <w:start w:val="2"/>
      <w:numFmt w:val="bullet"/>
      <w:lvlText w:val="-"/>
      <w:lvlJc w:val="left"/>
      <w:pPr>
        <w:tabs>
          <w:tab w:val="num" w:pos="1890"/>
        </w:tabs>
        <w:ind w:left="1890" w:hanging="117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6110AF"/>
    <w:multiLevelType w:val="hybridMultilevel"/>
    <w:tmpl w:val="6742D58C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E339A"/>
    <w:multiLevelType w:val="hybridMultilevel"/>
    <w:tmpl w:val="2272C34A"/>
    <w:lvl w:ilvl="0" w:tplc="BFAE118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513C"/>
    <w:multiLevelType w:val="hybridMultilevel"/>
    <w:tmpl w:val="552E49FA"/>
    <w:lvl w:ilvl="0" w:tplc="AEB85F3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DD"/>
    <w:rsid w:val="00072CB5"/>
    <w:rsid w:val="001A4695"/>
    <w:rsid w:val="002B2179"/>
    <w:rsid w:val="002F216F"/>
    <w:rsid w:val="004B5DA8"/>
    <w:rsid w:val="005D5F57"/>
    <w:rsid w:val="006F3B2C"/>
    <w:rsid w:val="00936E70"/>
    <w:rsid w:val="0095226F"/>
    <w:rsid w:val="00AC22F2"/>
    <w:rsid w:val="00C42CDD"/>
    <w:rsid w:val="00DC6559"/>
    <w:rsid w:val="00DE36DB"/>
    <w:rsid w:val="00E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FF2D-A711-4734-8AB6-8614E19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7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6E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6E70"/>
    <w:rPr>
      <w:lang w:val="ru-RU"/>
    </w:rPr>
  </w:style>
  <w:style w:type="table" w:styleId="a3">
    <w:name w:val="Table Grid"/>
    <w:basedOn w:val="a1"/>
    <w:uiPriority w:val="39"/>
    <w:rsid w:val="0093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3983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2020-02-03T13:28:00Z</dcterms:created>
  <dcterms:modified xsi:type="dcterms:W3CDTF">2020-02-03T13:37:00Z</dcterms:modified>
</cp:coreProperties>
</file>